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62" w:rsidRDefault="004A5D62" w:rsidP="004A5D62">
      <w:pPr>
        <w:pStyle w:val="Normlnweb"/>
      </w:pPr>
      <w:r>
        <w:t xml:space="preserve">Z dokumentů ke stažení je možno si udělat představu o obsahových náležitostech a také o podmínkách ochrany, které budou velmi podobné i v případě prohlášení </w:t>
      </w:r>
      <w:proofErr w:type="spellStart"/>
      <w:r>
        <w:t>Mravína</w:t>
      </w:r>
      <w:proofErr w:type="spellEnd"/>
      <w:r>
        <w:t xml:space="preserve">. Je tam i několik vesnických zón velice podobných </w:t>
      </w:r>
      <w:proofErr w:type="spellStart"/>
      <w:r>
        <w:t>Mravínu</w:t>
      </w:r>
      <w:proofErr w:type="spellEnd"/>
      <w:r>
        <w:t>.</w:t>
      </w:r>
    </w:p>
    <w:p w:rsidR="004A5D62" w:rsidRDefault="004A5D62" w:rsidP="004A5D62">
      <w:pPr>
        <w:pStyle w:val="Normlnweb"/>
      </w:pPr>
    </w:p>
    <w:p w:rsidR="004A5D62" w:rsidRDefault="004A5D62" w:rsidP="004A5D62">
      <w:pPr>
        <w:pStyle w:val="Normlnweb"/>
      </w:pPr>
      <w:hyperlink r:id="rId4" w:history="1">
        <w:r>
          <w:rPr>
            <w:rStyle w:val="Hypertextovodkaz"/>
          </w:rPr>
          <w:t>https://www.mkcr.cz/pravni-predpisy-a-opatreni-obecne-povahy-1114.html</w:t>
        </w:r>
      </w:hyperlink>
    </w:p>
    <w:p w:rsidR="00196EDC" w:rsidRDefault="00196EDC">
      <w:bookmarkStart w:id="0" w:name="_GoBack"/>
      <w:bookmarkEnd w:id="0"/>
    </w:p>
    <w:sectPr w:rsidR="0019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62"/>
    <w:rsid w:val="00196EDC"/>
    <w:rsid w:val="004A5D62"/>
    <w:rsid w:val="006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21F9-FCAB-44CC-9E09-CDB39786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cr.cz/pravni-predpisy-a-opatreni-obecne-povahy-1114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2019-07-17T10:12:00Z</dcterms:created>
  <dcterms:modified xsi:type="dcterms:W3CDTF">2019-07-17T10:13:00Z</dcterms:modified>
</cp:coreProperties>
</file>